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9"/>
        <w:ind w:left="114" w:right="0" w:firstLine="0"/>
        <w:jc w:val="left"/>
        <w:rPr>
          <w:rFonts w:ascii="Cambria" w:hAnsi="Cambria"/>
          <w:b/>
          <w:sz w:val="16"/>
        </w:rPr>
      </w:pPr>
      <w:r>
        <w:rPr>
          <w:b/>
          <w:color w:val="495468"/>
          <w:sz w:val="16"/>
        </w:rPr>
        <w:t>OPĆINA</w:t>
      </w:r>
      <w:r>
        <w:rPr>
          <w:b/>
          <w:color w:val="495468"/>
          <w:spacing w:val="19"/>
          <w:sz w:val="16"/>
        </w:rPr>
        <w:t> </w:t>
      </w:r>
      <w:r>
        <w:rPr>
          <w:b/>
          <w:color w:val="495468"/>
          <w:sz w:val="16"/>
        </w:rPr>
        <w:t>VELIKA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KLADUŠA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•</w:t>
      </w:r>
      <w:r>
        <w:rPr>
          <w:b/>
          <w:color w:val="495468"/>
          <w:spacing w:val="20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SLUŽBA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UPRAVU,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DRUŠTVENE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DJELATNOSTI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I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ZAJEDNIČKE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pacing w:val="-2"/>
          <w:sz w:val="16"/>
        </w:rPr>
        <w:t>POSLOVE</w:t>
      </w:r>
    </w:p>
    <w:p>
      <w:pPr>
        <w:pStyle w:val="Heading1"/>
      </w:pPr>
      <w:r>
        <w:rPr>
          <w:color w:val="1A365D"/>
        </w:rPr>
        <w:t>OBRAZAC</w:t>
      </w:r>
      <w:r>
        <w:rPr>
          <w:color w:val="1A365D"/>
          <w:spacing w:val="34"/>
        </w:rPr>
        <w:t> </w:t>
      </w:r>
      <w:r>
        <w:rPr>
          <w:color w:val="1A365D"/>
        </w:rPr>
        <w:t>2:</w:t>
      </w:r>
      <w:r>
        <w:rPr>
          <w:color w:val="1A365D"/>
          <w:spacing w:val="33"/>
        </w:rPr>
        <w:t> </w:t>
      </w:r>
      <w:r>
        <w:rPr>
          <w:color w:val="1A365D"/>
        </w:rPr>
        <w:t>PRIJEDLOG</w:t>
      </w:r>
      <w:r>
        <w:rPr>
          <w:color w:val="1A365D"/>
          <w:spacing w:val="34"/>
        </w:rPr>
        <w:t> </w:t>
      </w:r>
      <w:r>
        <w:rPr>
          <w:color w:val="1A365D"/>
        </w:rPr>
        <w:t>BUDŽETA</w:t>
      </w:r>
      <w:r>
        <w:rPr>
          <w:color w:val="1A365D"/>
          <w:spacing w:val="35"/>
        </w:rPr>
        <w:t> </w:t>
      </w:r>
      <w:r>
        <w:rPr>
          <w:color w:val="1A365D"/>
          <w:spacing w:val="-2"/>
        </w:rPr>
        <w:t>PROJEKTA</w:t>
      </w:r>
    </w:p>
    <w:p>
      <w:pPr>
        <w:pStyle w:val="Heading2"/>
      </w:pPr>
      <w:r>
        <w:rPr>
          <w:color w:val="2B6CAF"/>
        </w:rPr>
        <w:t>JAVNI</w:t>
      </w:r>
      <w:r>
        <w:rPr>
          <w:color w:val="2B6CAF"/>
          <w:spacing w:val="-10"/>
        </w:rPr>
        <w:t> </w:t>
      </w:r>
      <w:r>
        <w:rPr>
          <w:color w:val="2B6CAF"/>
        </w:rPr>
        <w:t>POZIV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9"/>
        </w:rPr>
        <w:t> </w:t>
      </w:r>
      <w:r>
        <w:rPr>
          <w:color w:val="2B6CAF"/>
        </w:rPr>
        <w:t>FINANSIRANJE</w:t>
      </w:r>
      <w:r>
        <w:rPr>
          <w:color w:val="2B6CAF"/>
          <w:spacing w:val="-9"/>
        </w:rPr>
        <w:t> </w:t>
      </w:r>
      <w:r>
        <w:rPr>
          <w:color w:val="2B6CAF"/>
        </w:rPr>
        <w:t>I</w:t>
      </w:r>
      <w:r>
        <w:rPr>
          <w:color w:val="2B6CAF"/>
          <w:spacing w:val="-10"/>
        </w:rPr>
        <w:t> </w:t>
      </w:r>
      <w:r>
        <w:rPr>
          <w:color w:val="2B6CAF"/>
        </w:rPr>
        <w:t>SUFINANSIRANJE</w:t>
      </w:r>
      <w:r>
        <w:rPr>
          <w:color w:val="2B6CAF"/>
          <w:spacing w:val="-9"/>
        </w:rPr>
        <w:t> </w:t>
      </w:r>
      <w:r>
        <w:rPr>
          <w:color w:val="2B6CAF"/>
        </w:rPr>
        <w:t>PROJEKATA</w:t>
      </w:r>
      <w:r>
        <w:rPr>
          <w:color w:val="2B6CAF"/>
          <w:spacing w:val="-9"/>
        </w:rPr>
        <w:t> </w:t>
      </w:r>
      <w:r>
        <w:rPr>
          <w:color w:val="2B6CAF"/>
        </w:rPr>
        <w:t>OCD</w:t>
      </w:r>
      <w:r>
        <w:rPr>
          <w:color w:val="2B6CAF"/>
          <w:spacing w:val="-9"/>
        </w:rPr>
        <w:t> </w:t>
      </w:r>
      <w:r>
        <w:rPr>
          <w:color w:val="2B6CAF"/>
        </w:rPr>
        <w:t>IZ</w:t>
      </w:r>
      <w:r>
        <w:rPr>
          <w:color w:val="2B6CAF"/>
          <w:spacing w:val="-9"/>
        </w:rPr>
        <w:t> </w:t>
      </w:r>
      <w:r>
        <w:rPr>
          <w:color w:val="2B6CAF"/>
        </w:rPr>
        <w:t>BUDŽETA</w:t>
      </w:r>
      <w:r>
        <w:rPr>
          <w:color w:val="2B6CAF"/>
          <w:spacing w:val="-10"/>
        </w:rPr>
        <w:t> </w:t>
      </w:r>
      <w:r>
        <w:rPr>
          <w:color w:val="2B6CAF"/>
        </w:rPr>
        <w:t>OPĆINE</w:t>
      </w:r>
      <w:r>
        <w:rPr>
          <w:color w:val="2B6CAF"/>
          <w:spacing w:val="-9"/>
        </w:rPr>
        <w:t> </w:t>
      </w:r>
      <w:r>
        <w:rPr>
          <w:color w:val="2B6CAF"/>
        </w:rPr>
        <w:t>VELIKA</w:t>
      </w:r>
      <w:r>
        <w:rPr>
          <w:color w:val="2B6CAF"/>
          <w:spacing w:val="-9"/>
        </w:rPr>
        <w:t> </w:t>
      </w:r>
      <w:r>
        <w:rPr>
          <w:color w:val="2B6CAF"/>
        </w:rPr>
        <w:t>KLADUŠA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10"/>
        </w:rPr>
        <w:t> </w:t>
      </w:r>
      <w:r>
        <w:rPr>
          <w:color w:val="2B6CAF"/>
        </w:rPr>
        <w:t>2026.</w:t>
      </w:r>
      <w:r>
        <w:rPr>
          <w:color w:val="2B6CAF"/>
          <w:spacing w:val="-9"/>
        </w:rPr>
        <w:t> </w:t>
      </w:r>
      <w:r>
        <w:rPr>
          <w:color w:val="2B6CAF"/>
          <w:spacing w:val="-2"/>
        </w:rPr>
        <w:t>GODINU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431996</wp:posOffset>
                </wp:positionH>
                <wp:positionV relativeFrom="paragraph">
                  <wp:posOffset>82156</wp:posOffset>
                </wp:positionV>
                <wp:extent cx="9828530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8285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28530" h="19050">
                              <a:moveTo>
                                <a:pt x="9828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9828000" y="0"/>
                              </a:lnTo>
                              <a:lnTo>
                                <a:pt x="9828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15499pt;margin-top:6.468995pt;width:773.858273pt;height:1.5pt;mso-position-horizontal-relative:page;mso-position-vertical-relative:paragraph;z-index:-15728640;mso-wrap-distance-left:0;mso-wrap-distance-right:0" id="docshape1" filled="true" fillcolor="#1a365d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15"/>
        <w:ind w:left="189"/>
      </w:pPr>
      <w:r>
        <w:rPr>
          <w:color w:val="2C3747"/>
        </w:rPr>
        <w:t>Naziv</w:t>
      </w:r>
      <w:r>
        <w:rPr>
          <w:color w:val="2C3747"/>
          <w:spacing w:val="-5"/>
        </w:rPr>
        <w:t> </w:t>
      </w:r>
      <w:r>
        <w:rPr>
          <w:color w:val="2C3747"/>
        </w:rPr>
        <w:t>organizacije</w:t>
      </w:r>
      <w:r>
        <w:rPr>
          <w:color w:val="2C3747"/>
          <w:spacing w:val="-5"/>
        </w:rPr>
        <w:t> </w:t>
      </w:r>
      <w:r>
        <w:rPr>
          <w:color w:val="2C3747"/>
          <w:spacing w:val="-2"/>
        </w:rPr>
        <w:t>(OCD):</w:t>
      </w:r>
    </w:p>
    <w:p>
      <w:pPr>
        <w:pStyle w:val="BodyText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2397599</wp:posOffset>
                </wp:positionH>
                <wp:positionV relativeFrom="paragraph">
                  <wp:posOffset>46368</wp:posOffset>
                </wp:positionV>
                <wp:extent cx="7862570" cy="952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862570" cy="9525"/>
                          <a:chExt cx="786257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3046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6730" h="0">
                                <a:moveTo>
                                  <a:pt x="0" y="0"/>
                                </a:moveTo>
                                <a:lnTo>
                                  <a:pt x="30466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6679" y="4762"/>
                            <a:ext cx="1769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9110" h="0">
                                <a:moveTo>
                                  <a:pt x="0" y="0"/>
                                </a:moveTo>
                                <a:lnTo>
                                  <a:pt x="1769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815720" y="4762"/>
                            <a:ext cx="3046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6730" h="0">
                                <a:moveTo>
                                  <a:pt x="0" y="0"/>
                                </a:moveTo>
                                <a:lnTo>
                                  <a:pt x="30466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787369pt;margin-top:3.651083pt;width:619.1pt;height:.75pt;mso-position-horizontal-relative:page;mso-position-vertical-relative:paragraph;z-index:-15728128;mso-wrap-distance-left:0;mso-wrap-distance-right:0" id="docshapegroup2" coordorigin="3776,73" coordsize="12382,15">
                <v:line style="position:absolute" from="3776,81" to="8574,81" stroked="true" strokeweight=".75pt" strokecolor="#9fadc0">
                  <v:stroke dashstyle="shortdot"/>
                </v:line>
                <v:line style="position:absolute" from="8574,81" to="11360,81" stroked="true" strokeweight=".75pt" strokecolor="#9fadc0">
                  <v:stroke dashstyle="shortdot"/>
                </v:line>
                <v:line style="position:absolute" from="11360,81" to="16157,81" stroked="true" strokeweight=".75pt" strokecolor="#9fadc0">
                  <v:stroke dashstyle="shortdot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27"/>
        <w:ind w:left="189"/>
      </w:pPr>
      <w:r>
        <w:rPr>
          <w:color w:val="2C3747"/>
        </w:rPr>
        <w:t>Naziv</w:t>
      </w:r>
      <w:r>
        <w:rPr>
          <w:color w:val="2C3747"/>
          <w:spacing w:val="-5"/>
        </w:rPr>
        <w:t> </w:t>
      </w:r>
      <w:r>
        <w:rPr>
          <w:color w:val="2C3747"/>
          <w:spacing w:val="-2"/>
        </w:rPr>
        <w:t>projekta: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2397599</wp:posOffset>
                </wp:positionH>
                <wp:positionV relativeFrom="paragraph">
                  <wp:posOffset>46682</wp:posOffset>
                </wp:positionV>
                <wp:extent cx="7862570" cy="952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862570" cy="9525"/>
                          <a:chExt cx="7862570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762"/>
                            <a:ext cx="3046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6730" h="0">
                                <a:moveTo>
                                  <a:pt x="0" y="0"/>
                                </a:moveTo>
                                <a:lnTo>
                                  <a:pt x="30466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6679" y="4762"/>
                            <a:ext cx="1769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9110" h="0">
                                <a:moveTo>
                                  <a:pt x="0" y="0"/>
                                </a:moveTo>
                                <a:lnTo>
                                  <a:pt x="1769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15720" y="4762"/>
                            <a:ext cx="3046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6730" h="0">
                                <a:moveTo>
                                  <a:pt x="0" y="0"/>
                                </a:moveTo>
                                <a:lnTo>
                                  <a:pt x="30466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787369pt;margin-top:3.675805pt;width:619.1pt;height:.75pt;mso-position-horizontal-relative:page;mso-position-vertical-relative:paragraph;z-index:-15727616;mso-wrap-distance-left:0;mso-wrap-distance-right:0" id="docshapegroup3" coordorigin="3776,74" coordsize="12382,15">
                <v:line style="position:absolute" from="3776,81" to="8574,81" stroked="true" strokeweight=".75pt" strokecolor="#9fadc0">
                  <v:stroke dashstyle="shortdot"/>
                </v:line>
                <v:line style="position:absolute" from="8574,81" to="11360,81" stroked="true" strokeweight=".75pt" strokecolor="#9fadc0">
                  <v:stroke dashstyle="shortdot"/>
                </v:line>
                <v:line style="position:absolute" from="11360,81" to="16157,81" stroked="true" strokeweight=".75pt" strokecolor="#9fadc0">
                  <v:stroke dashstyle="shortdot"/>
                </v:lin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8232" w:val="left" w:leader="none"/>
        </w:tabs>
        <w:spacing w:before="35"/>
        <w:ind w:left="189"/>
      </w:pPr>
      <w:r>
        <w:rPr>
          <w:color w:val="2C3747"/>
        </w:rPr>
        <w:t>Ukupan</w:t>
      </w:r>
      <w:r>
        <w:rPr>
          <w:color w:val="2C3747"/>
          <w:spacing w:val="-4"/>
        </w:rPr>
        <w:t> </w:t>
      </w:r>
      <w:r>
        <w:rPr>
          <w:color w:val="2C3747"/>
        </w:rPr>
        <w:t>budžet</w:t>
      </w:r>
      <w:r>
        <w:rPr>
          <w:color w:val="2C3747"/>
          <w:spacing w:val="-4"/>
        </w:rPr>
        <w:t> </w:t>
      </w:r>
      <w:r>
        <w:rPr>
          <w:color w:val="2C3747"/>
          <w:spacing w:val="-2"/>
        </w:rPr>
        <w:t>(KM):</w:t>
      </w:r>
      <w:r>
        <w:rPr>
          <w:color w:val="2C3747"/>
        </w:rPr>
        <w:tab/>
        <w:t>Traženi</w:t>
      </w:r>
      <w:r>
        <w:rPr>
          <w:color w:val="2C3747"/>
          <w:spacing w:val="-7"/>
        </w:rPr>
        <w:t> </w:t>
      </w:r>
      <w:r>
        <w:rPr>
          <w:color w:val="2C3747"/>
        </w:rPr>
        <w:t>iznos</w:t>
      </w:r>
      <w:r>
        <w:rPr>
          <w:color w:val="2C3747"/>
          <w:spacing w:val="-6"/>
        </w:rPr>
        <w:t> </w:t>
      </w:r>
      <w:r>
        <w:rPr>
          <w:color w:val="2C3747"/>
        </w:rPr>
        <w:t>od</w:t>
      </w:r>
      <w:r>
        <w:rPr>
          <w:color w:val="2C3747"/>
          <w:spacing w:val="-6"/>
        </w:rPr>
        <w:t> </w:t>
      </w:r>
      <w:r>
        <w:rPr>
          <w:color w:val="2C3747"/>
          <w:spacing w:val="-2"/>
        </w:rPr>
        <w:t>Općine:</w:t>
      </w:r>
    </w:p>
    <w:p>
      <w:pPr>
        <w:pStyle w:val="BodyText"/>
        <w:spacing w:before="10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2397599</wp:posOffset>
                </wp:positionH>
                <wp:positionV relativeFrom="paragraph">
                  <wp:posOffset>51128</wp:posOffset>
                </wp:positionV>
                <wp:extent cx="30467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04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6730" h="0">
                              <a:moveTo>
                                <a:pt x="0" y="0"/>
                              </a:moveTo>
                              <a:lnTo>
                                <a:pt x="3046676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ADC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787369pt;margin-top:4.02588pt;width:239.9pt;height:.1pt;mso-position-horizontal-relative:page;mso-position-vertical-relative:paragraph;z-index:-15727104;mso-wrap-distance-left:0;mso-wrap-distance-right:0" id="docshape4" coordorigin="3776,81" coordsize="4798,0" path="m3776,81l8574,81e" filled="false" stroked="true" strokeweight=".75pt" strokecolor="#9fadc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7213320</wp:posOffset>
                </wp:positionH>
                <wp:positionV relativeFrom="paragraph">
                  <wp:posOffset>51128</wp:posOffset>
                </wp:positionV>
                <wp:extent cx="304673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04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6730" h="0">
                              <a:moveTo>
                                <a:pt x="0" y="0"/>
                              </a:moveTo>
                              <a:lnTo>
                                <a:pt x="3046676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ADC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7.978027pt;margin-top:4.02588pt;width:239.9pt;height:.1pt;mso-position-horizontal-relative:page;mso-position-vertical-relative:paragraph;z-index:-15726592;mso-wrap-distance-left:0;mso-wrap-distance-right:0" id="docshape5" coordorigin="11360,81" coordsize="4798,0" path="m11360,81l16157,81e" filled="false" stroked="true" strokeweight=".75pt" strokecolor="#9fadc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431996</wp:posOffset>
                </wp:positionH>
                <wp:positionV relativeFrom="paragraph">
                  <wp:posOffset>170187</wp:posOffset>
                </wp:positionV>
                <wp:extent cx="9828530" cy="66675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9828530" cy="666750"/>
                          <a:chExt cx="9828530" cy="6667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982853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666750">
                                <a:moveTo>
                                  <a:pt x="9827999" y="666750"/>
                                </a:moveTo>
                                <a:lnTo>
                                  <a:pt x="0" y="666750"/>
                                </a:lnTo>
                                <a:lnTo>
                                  <a:pt x="0" y="0"/>
                                </a:lnTo>
                                <a:lnTo>
                                  <a:pt x="9827999" y="0"/>
                                </a:lnTo>
                                <a:lnTo>
                                  <a:pt x="9827999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657225"/>
                            <a:ext cx="98285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9525">
                                <a:moveTo>
                                  <a:pt x="9828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33337" y="0"/>
                                </a:lnTo>
                                <a:lnTo>
                                  <a:pt x="9818475" y="0"/>
                                </a:lnTo>
                                <a:lnTo>
                                  <a:pt x="9828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3655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666750">
                                <a:moveTo>
                                  <a:pt x="0" y="666750"/>
                                </a:moveTo>
                                <a:lnTo>
                                  <a:pt x="0" y="0"/>
                                </a:lnTo>
                                <a:lnTo>
                                  <a:pt x="33337" y="9525"/>
                                </a:lnTo>
                                <a:lnTo>
                                  <a:pt x="33337" y="657225"/>
                                </a:lnTo>
                                <a:lnTo>
                                  <a:pt x="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-6" y="4"/>
                            <a:ext cx="982853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666750">
                                <a:moveTo>
                                  <a:pt x="9827997" y="0"/>
                                </a:moveTo>
                                <a:lnTo>
                                  <a:pt x="0" y="0"/>
                                </a:lnTo>
                                <a:lnTo>
                                  <a:pt x="33337" y="9525"/>
                                </a:lnTo>
                                <a:lnTo>
                                  <a:pt x="9818472" y="9525"/>
                                </a:lnTo>
                                <a:lnTo>
                                  <a:pt x="9818472" y="657225"/>
                                </a:lnTo>
                                <a:lnTo>
                                  <a:pt x="9827997" y="666750"/>
                                </a:lnTo>
                                <a:lnTo>
                                  <a:pt x="9827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3337" y="9525"/>
                            <a:ext cx="9785350" cy="647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8"/>
                                <w:ind w:left="15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Napomena</w:t>
                              </w:r>
                              <w:r>
                                <w:rPr>
                                  <w:b/>
                                  <w:color w:val="495468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ograničenjima</w:t>
                              </w:r>
                              <w:r>
                                <w:rPr>
                                  <w:b/>
                                  <w:color w:val="495468"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budžeta</w:t>
                              </w:r>
                              <w:r>
                                <w:rPr>
                                  <w:b/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(u</w:t>
                              </w:r>
                              <w:r>
                                <w:rPr>
                                  <w:b/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skladu</w:t>
                              </w:r>
                              <w:r>
                                <w:rPr>
                                  <w:b/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Smjernicama</w:t>
                              </w:r>
                              <w:r>
                                <w:rPr>
                                  <w:b/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pacing w:val="-2"/>
                                  <w:sz w:val="15"/>
                                </w:rPr>
                                <w:t>Pravilnikom):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243" w:val="left" w:leader="none"/>
                                </w:tabs>
                                <w:spacing w:before="38"/>
                                <w:ind w:left="243" w:right="0" w:hanging="93"/>
                                <w:jc w:val="left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Administrativni</w:t>
                              </w:r>
                              <w:r>
                                <w:rPr>
                                  <w:b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(indirektni)</w:t>
                              </w:r>
                              <w:r>
                                <w:rPr>
                                  <w:b/>
                                  <w:color w:val="495468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troškovi</w:t>
                              </w:r>
                              <w:r>
                                <w:rPr>
                                  <w:b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(režije,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kancelarijski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materijal,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bankarske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usluge)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ne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smiju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prelaziti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10%</w:t>
                              </w:r>
                              <w:r>
                                <w:rPr>
                                  <w:b/>
                                  <w:color w:val="495468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495468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20%</w:t>
                              </w:r>
                              <w:r>
                                <w:rPr>
                                  <w:b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ukupno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traženih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sredstava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od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2"/>
                                  <w:sz w:val="15"/>
                                </w:rPr>
                                <w:t>Općine.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243" w:val="left" w:leader="none"/>
                                </w:tabs>
                                <w:spacing w:before="37"/>
                                <w:ind w:left="243" w:right="0" w:hanging="93"/>
                                <w:jc w:val="left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Ljudski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resursi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(honorari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osoblja)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ne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smiju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prelaziti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20%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ukupnog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budžeta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2"/>
                                  <w:sz w:val="15"/>
                                </w:rPr>
                                <w:t>projekta.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242" w:val="left" w:leader="none"/>
                                </w:tabs>
                                <w:spacing w:before="40"/>
                                <w:ind w:left="242" w:right="0" w:hanging="93"/>
                                <w:jc w:val="left"/>
                                <w:rPr>
                                  <w:rFonts w:asci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Nabavka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opreme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radovi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rekonstrukcije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dozvoljeni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su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samo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ako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su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neophodni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za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realizaciju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usmjereni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prema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korisnicima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(do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z w:val="15"/>
                                </w:rPr>
                                <w:t>max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495468"/>
                                  <w:spacing w:val="-2"/>
                                  <w:sz w:val="15"/>
                                </w:rPr>
                                <w:t>20%).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15499pt;margin-top:13.400604pt;width:773.9pt;height:52.5pt;mso-position-horizontal-relative:page;mso-position-vertical-relative:paragraph;z-index:-15726080;mso-wrap-distance-left:0;mso-wrap-distance-right:0" id="docshapegroup6" coordorigin="680,268" coordsize="15478,1050">
                <v:rect style="position:absolute;left:680;top:268;width:15478;height:1050" id="docshape7" filled="true" fillcolor="#f7f9fb" stroked="false">
                  <v:fill type="solid"/>
                </v:rect>
                <v:shape style="position:absolute;left:680;top:1303;width:15478;height:15" id="docshape8" coordorigin="680,1303" coordsize="15478,15" path="m16157,1318l680,1318,733,1303,16142,1303,16157,1318xe" filled="true" fillcolor="#e1e8ef" stroked="false">
                  <v:path arrowok="t"/>
                  <v:fill type="solid"/>
                </v:shape>
                <v:shape style="position:absolute;left:680;top:268;width:53;height:1050" id="docshape9" coordorigin="680,268" coordsize="53,1050" path="m680,1318l680,268,733,283,733,1303,680,1318xe" filled="true" fillcolor="#2b6caf" stroked="false">
                  <v:path arrowok="t"/>
                  <v:fill type="solid"/>
                </v:shape>
                <v:shape style="position:absolute;left:680;top:268;width:15478;height:1050" id="docshape10" coordorigin="680,268" coordsize="15478,1050" path="m16157,268l680,268,733,283,16142,283,16142,1303,16157,1318,16157,268xe" filled="true" fillcolor="#e1e8e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2;top:283;width:15410;height:1020" type="#_x0000_t202" id="docshape11" filled="false" stroked="false">
                  <v:textbox inset="0,0,0,0">
                    <w:txbxContent>
                      <w:p>
                        <w:pPr>
                          <w:spacing w:before="88"/>
                          <w:ind w:left="15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495468"/>
                            <w:sz w:val="15"/>
                          </w:rPr>
                          <w:t>Napomena</w:t>
                        </w:r>
                        <w:r>
                          <w:rPr>
                            <w:b/>
                            <w:color w:val="495468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o</w:t>
                        </w:r>
                        <w:r>
                          <w:rPr>
                            <w:b/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ograničenjima</w:t>
                        </w:r>
                        <w:r>
                          <w:rPr>
                            <w:b/>
                            <w:color w:val="495468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budžeta</w:t>
                        </w:r>
                        <w:r>
                          <w:rPr>
                            <w:b/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(u</w:t>
                        </w:r>
                        <w:r>
                          <w:rPr>
                            <w:b/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skladu</w:t>
                        </w:r>
                        <w:r>
                          <w:rPr>
                            <w:b/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sa</w:t>
                        </w:r>
                        <w:r>
                          <w:rPr>
                            <w:b/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Smjernicama</w:t>
                        </w:r>
                        <w:r>
                          <w:rPr>
                            <w:b/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i</w:t>
                        </w:r>
                        <w:r>
                          <w:rPr>
                            <w:b/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pacing w:val="-2"/>
                            <w:sz w:val="15"/>
                          </w:rPr>
                          <w:t>Pravilnikom):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43" w:val="left" w:leader="none"/>
                          </w:tabs>
                          <w:spacing w:before="38"/>
                          <w:ind w:left="243" w:right="0" w:hanging="93"/>
                          <w:jc w:val="left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b/>
                            <w:color w:val="495468"/>
                            <w:sz w:val="15"/>
                          </w:rPr>
                          <w:t>Administrativni</w:t>
                        </w:r>
                        <w:r>
                          <w:rPr>
                            <w:b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(indirektni)</w:t>
                        </w:r>
                        <w:r>
                          <w:rPr>
                            <w:b/>
                            <w:color w:val="495468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troškovi</w:t>
                        </w:r>
                        <w:r>
                          <w:rPr>
                            <w:b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(režije,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kancelarijski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materijal,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bankarske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usluge)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ne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smiju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prelaziti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max</w:t>
                        </w:r>
                        <w:r>
                          <w:rPr>
                            <w:b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10%</w:t>
                        </w:r>
                        <w:r>
                          <w:rPr>
                            <w:b/>
                            <w:color w:val="495468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do</w:t>
                        </w:r>
                        <w:r>
                          <w:rPr>
                            <w:b/>
                            <w:color w:val="495468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20%</w:t>
                        </w:r>
                        <w:r>
                          <w:rPr>
                            <w:b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ukupno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traženih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sredstava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od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2"/>
                            <w:sz w:val="15"/>
                          </w:rPr>
                          <w:t>Općine.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43" w:val="left" w:leader="none"/>
                          </w:tabs>
                          <w:spacing w:before="37"/>
                          <w:ind w:left="243" w:right="0" w:hanging="93"/>
                          <w:jc w:val="left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b/>
                            <w:color w:val="495468"/>
                            <w:sz w:val="15"/>
                          </w:rPr>
                          <w:t>Ljudski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resursi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(honorari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osoblja)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ne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smiju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prelaziti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max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20%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ukupnog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budžeta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2"/>
                            <w:sz w:val="15"/>
                          </w:rPr>
                          <w:t>projekta.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42" w:val="left" w:leader="none"/>
                          </w:tabs>
                          <w:spacing w:before="40"/>
                          <w:ind w:left="242" w:right="0" w:hanging="93"/>
                          <w:jc w:val="left"/>
                          <w:rPr>
                            <w:rFonts w:ascii="Microsoft Sans Serif"/>
                            <w:sz w:val="15"/>
                          </w:rPr>
                        </w:pP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Nabavka</w:t>
                        </w:r>
                        <w:r>
                          <w:rPr>
                            <w:rFonts w:asci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opreme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/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radovi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rekonstrukcije</w:t>
                        </w:r>
                        <w:r>
                          <w:rPr>
                            <w:rFonts w:asci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dozvoljeni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su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samo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ako</w:t>
                        </w:r>
                        <w:r>
                          <w:rPr>
                            <w:rFonts w:asci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su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neophodni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za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realizaciju</w:t>
                        </w:r>
                        <w:r>
                          <w:rPr>
                            <w:rFonts w:asci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i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usmjereni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prema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korisnicima</w:t>
                        </w:r>
                        <w:r>
                          <w:rPr>
                            <w:rFonts w:ascii="Microsoft Sans Serif"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(do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z w:val="15"/>
                          </w:rPr>
                          <w:t>max</w:t>
                        </w:r>
                        <w:r>
                          <w:rPr>
                            <w:rFonts w:asci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495468"/>
                            <w:spacing w:val="-2"/>
                            <w:sz w:val="15"/>
                          </w:rPr>
                          <w:t>20%).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129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"/>
        <w:gridCol w:w="4947"/>
        <w:gridCol w:w="1236"/>
        <w:gridCol w:w="1081"/>
        <w:gridCol w:w="1699"/>
        <w:gridCol w:w="1854"/>
        <w:gridCol w:w="2009"/>
        <w:gridCol w:w="2009"/>
      </w:tblGrid>
      <w:tr>
        <w:trPr>
          <w:trHeight w:val="562" w:hRule="atLeast"/>
        </w:trPr>
        <w:tc>
          <w:tcPr>
            <w:tcW w:w="618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before="169"/>
              <w:ind w:left="149"/>
              <w:rPr>
                <w:b/>
                <w:sz w:val="16"/>
              </w:rPr>
            </w:pPr>
            <w:r>
              <w:rPr>
                <w:b/>
                <w:color w:val="1A365D"/>
                <w:spacing w:val="-4"/>
                <w:sz w:val="16"/>
              </w:rPr>
              <w:t>R.B.</w:t>
            </w:r>
          </w:p>
        </w:tc>
        <w:tc>
          <w:tcPr>
            <w:tcW w:w="4947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before="169"/>
              <w:ind w:left="1341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KATEGORIJA</w:t>
            </w:r>
            <w:r>
              <w:rPr>
                <w:b/>
                <w:color w:val="1A365D"/>
                <w:spacing w:val="-9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I</w:t>
            </w:r>
            <w:r>
              <w:rPr>
                <w:b/>
                <w:color w:val="1A365D"/>
                <w:spacing w:val="-9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OPIS</w:t>
            </w:r>
            <w:r>
              <w:rPr>
                <w:b/>
                <w:color w:val="1A365D"/>
                <w:spacing w:val="-9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TROŠKA</w:t>
            </w:r>
          </w:p>
        </w:tc>
        <w:tc>
          <w:tcPr>
            <w:tcW w:w="1236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before="169"/>
              <w:ind w:left="14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JED.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pacing w:val="-4"/>
                <w:sz w:val="16"/>
              </w:rPr>
              <w:t>MJERE</w:t>
            </w:r>
          </w:p>
        </w:tc>
        <w:tc>
          <w:tcPr>
            <w:tcW w:w="1081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before="169"/>
              <w:ind w:left="161"/>
              <w:rPr>
                <w:b/>
                <w:sz w:val="16"/>
              </w:rPr>
            </w:pPr>
            <w:r>
              <w:rPr>
                <w:b/>
                <w:color w:val="1A365D"/>
                <w:spacing w:val="-2"/>
                <w:sz w:val="16"/>
              </w:rPr>
              <w:t>KOLIČINA</w:t>
            </w:r>
          </w:p>
        </w:tc>
        <w:tc>
          <w:tcPr>
            <w:tcW w:w="1699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before="169"/>
              <w:ind w:left="161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JED.</w:t>
            </w:r>
            <w:r>
              <w:rPr>
                <w:b/>
                <w:color w:val="1A365D"/>
                <w:spacing w:val="-7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CIJENA</w:t>
            </w:r>
            <w:r>
              <w:rPr>
                <w:b/>
                <w:color w:val="1A365D"/>
                <w:spacing w:val="-5"/>
                <w:sz w:val="16"/>
              </w:rPr>
              <w:t> </w:t>
            </w:r>
            <w:r>
              <w:rPr>
                <w:b/>
                <w:color w:val="1A365D"/>
                <w:spacing w:val="-4"/>
                <w:sz w:val="16"/>
              </w:rPr>
              <w:t>(KM)</w:t>
            </w:r>
          </w:p>
        </w:tc>
        <w:tc>
          <w:tcPr>
            <w:tcW w:w="1854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line="271" w:lineRule="auto" w:before="65"/>
              <w:ind w:left="755" w:right="209" w:hanging="516"/>
              <w:rPr>
                <w:b/>
                <w:sz w:val="16"/>
              </w:rPr>
            </w:pPr>
            <w:r>
              <w:rPr>
                <w:b/>
                <w:color w:val="1A365D"/>
                <w:spacing w:val="-2"/>
                <w:sz w:val="16"/>
              </w:rPr>
              <w:t>UKUPAN</w:t>
            </w:r>
            <w:r>
              <w:rPr>
                <w:b/>
                <w:color w:val="1A365D"/>
                <w:spacing w:val="-10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TROŠAK </w:t>
            </w:r>
            <w:r>
              <w:rPr>
                <w:b/>
                <w:color w:val="1A365D"/>
                <w:spacing w:val="-4"/>
                <w:sz w:val="16"/>
              </w:rPr>
              <w:t>(KM)</w:t>
            </w:r>
          </w:p>
        </w:tc>
        <w:tc>
          <w:tcPr>
            <w:tcW w:w="2009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line="271" w:lineRule="auto" w:before="65"/>
              <w:ind w:left="834" w:hanging="681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TRAŽENO</w:t>
            </w:r>
            <w:r>
              <w:rPr>
                <w:b/>
                <w:color w:val="1A365D"/>
                <w:spacing w:val="-1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OD</w:t>
            </w:r>
            <w:r>
              <w:rPr>
                <w:b/>
                <w:color w:val="1A365D"/>
                <w:spacing w:val="-1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OPĆINE </w:t>
            </w:r>
            <w:r>
              <w:rPr>
                <w:b/>
                <w:color w:val="1A365D"/>
                <w:spacing w:val="-4"/>
                <w:sz w:val="16"/>
              </w:rPr>
              <w:t>(KM)</w:t>
            </w:r>
          </w:p>
        </w:tc>
        <w:tc>
          <w:tcPr>
            <w:tcW w:w="2009" w:type="dxa"/>
            <w:tcBorders>
              <w:bottom w:val="single" w:sz="12" w:space="0" w:color="CAD4DF"/>
            </w:tcBorders>
            <w:shd w:val="clear" w:color="auto" w:fill="EBF8FF"/>
          </w:tcPr>
          <w:p>
            <w:pPr>
              <w:pStyle w:val="TableParagraph"/>
              <w:spacing w:line="271" w:lineRule="auto" w:before="65"/>
              <w:ind w:left="270" w:right="184" w:hanging="49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VLASTITO</w:t>
            </w:r>
            <w:r>
              <w:rPr>
                <w:b/>
                <w:color w:val="1A365D"/>
                <w:spacing w:val="-1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UČEŠĆE</w:t>
            </w:r>
            <w:r>
              <w:rPr>
                <w:b/>
                <w:color w:val="1A365D"/>
                <w:spacing w:val="-1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/ DRUGI</w:t>
            </w:r>
            <w:r>
              <w:rPr>
                <w:b/>
                <w:color w:val="1A365D"/>
                <w:spacing w:val="-7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IZVORI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pacing w:val="-4"/>
                <w:sz w:val="16"/>
              </w:rPr>
              <w:t>(KM)</w:t>
            </w:r>
          </w:p>
        </w:tc>
      </w:tr>
      <w:tr>
        <w:trPr>
          <w:trHeight w:val="363" w:hRule="atLeast"/>
        </w:trPr>
        <w:tc>
          <w:tcPr>
            <w:tcW w:w="618" w:type="dxa"/>
            <w:tcBorders>
              <w:top w:val="single" w:sz="12" w:space="0" w:color="CAD4DF"/>
              <w:bottom w:val="single" w:sz="12" w:space="0" w:color="CAD4DF"/>
            </w:tcBorders>
            <w:shd w:val="clear" w:color="auto" w:fill="F7F9FB"/>
          </w:tcPr>
          <w:p>
            <w:pPr>
              <w:pStyle w:val="TableParagraph"/>
              <w:spacing w:before="61"/>
              <w:ind w:left="97"/>
              <w:rPr>
                <w:b/>
                <w:sz w:val="17"/>
              </w:rPr>
            </w:pPr>
            <w:r>
              <w:rPr>
                <w:b/>
                <w:color w:val="1A365D"/>
                <w:spacing w:val="-5"/>
                <w:sz w:val="17"/>
              </w:rPr>
              <w:t>1.</w:t>
            </w:r>
          </w:p>
        </w:tc>
        <w:tc>
          <w:tcPr>
            <w:tcW w:w="14835" w:type="dxa"/>
            <w:gridSpan w:val="7"/>
            <w:tcBorders>
              <w:top w:val="single" w:sz="12" w:space="0" w:color="CAD4DF"/>
              <w:bottom w:val="single" w:sz="12" w:space="0" w:color="CAD4DF"/>
            </w:tcBorders>
            <w:shd w:val="clear" w:color="auto" w:fill="F7F9FB"/>
          </w:tcPr>
          <w:p>
            <w:pPr>
              <w:pStyle w:val="TableParagraph"/>
              <w:spacing w:before="61"/>
              <w:ind w:left="97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LJUDSKI</w:t>
            </w:r>
            <w:r>
              <w:rPr>
                <w:b/>
                <w:color w:val="1A365D"/>
                <w:spacing w:val="-6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RESURSI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(Honorari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voditelja</w:t>
            </w:r>
            <w:r>
              <w:rPr>
                <w:b/>
                <w:color w:val="1A365D"/>
                <w:spacing w:val="-6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projekta,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stručnjaka,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predavača,</w:t>
            </w:r>
            <w:r>
              <w:rPr>
                <w:b/>
                <w:color w:val="1A365D"/>
                <w:spacing w:val="-6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koordinatora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-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max</w:t>
            </w:r>
            <w:r>
              <w:rPr>
                <w:b/>
                <w:color w:val="1A365D"/>
                <w:spacing w:val="-6"/>
                <w:sz w:val="17"/>
              </w:rPr>
              <w:t> </w:t>
            </w:r>
            <w:r>
              <w:rPr>
                <w:b/>
                <w:color w:val="1A365D"/>
                <w:spacing w:val="-4"/>
                <w:sz w:val="17"/>
              </w:rPr>
              <w:t>20%)</w:t>
            </w:r>
          </w:p>
        </w:tc>
      </w:tr>
      <w:tr>
        <w:trPr>
          <w:trHeight w:val="354" w:hRule="atLeast"/>
        </w:trPr>
        <w:tc>
          <w:tcPr>
            <w:tcW w:w="618" w:type="dxa"/>
            <w:tcBorders>
              <w:top w:val="single" w:sz="12" w:space="0" w:color="CAD4DF"/>
            </w:tcBorders>
          </w:tcPr>
          <w:p>
            <w:pPr>
              <w:pStyle w:val="TableParagraph"/>
              <w:spacing w:before="64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1.1.</w:t>
            </w:r>
          </w:p>
        </w:tc>
        <w:tc>
          <w:tcPr>
            <w:tcW w:w="4947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8" w:hRule="atLeast"/>
        </w:trPr>
        <w:tc>
          <w:tcPr>
            <w:tcW w:w="618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1.2.</w:t>
            </w:r>
          </w:p>
        </w:tc>
        <w:tc>
          <w:tcPr>
            <w:tcW w:w="4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8" w:hRule="atLeast"/>
        </w:trPr>
        <w:tc>
          <w:tcPr>
            <w:tcW w:w="618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1.3.</w:t>
            </w:r>
          </w:p>
        </w:tc>
        <w:tc>
          <w:tcPr>
            <w:tcW w:w="4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9581" w:type="dxa"/>
            <w:gridSpan w:val="5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spacing w:before="65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color w:val="2C3747"/>
                <w:sz w:val="16"/>
              </w:rPr>
              <w:t>UKUPNO</w:t>
            </w:r>
            <w:r>
              <w:rPr>
                <w:b/>
                <w:color w:val="2C3747"/>
                <w:spacing w:val="-3"/>
                <w:sz w:val="16"/>
              </w:rPr>
              <w:t> </w:t>
            </w:r>
            <w:r>
              <w:rPr>
                <w:b/>
                <w:color w:val="2C3747"/>
                <w:sz w:val="16"/>
              </w:rPr>
              <w:t>LJUDSKI</w:t>
            </w:r>
            <w:r>
              <w:rPr>
                <w:b/>
                <w:color w:val="2C3747"/>
                <w:spacing w:val="-2"/>
                <w:sz w:val="16"/>
              </w:rPr>
              <w:t> </w:t>
            </w:r>
            <w:r>
              <w:rPr>
                <w:b/>
                <w:color w:val="2C3747"/>
                <w:sz w:val="16"/>
              </w:rPr>
              <w:t>RESURSI</w:t>
            </w:r>
            <w:r>
              <w:rPr>
                <w:b/>
                <w:color w:val="2C3747"/>
                <w:spacing w:val="-2"/>
                <w:sz w:val="16"/>
              </w:rPr>
              <w:t> (KM):</w:t>
            </w:r>
          </w:p>
        </w:tc>
        <w:tc>
          <w:tcPr>
            <w:tcW w:w="1854" w:type="dxa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3" w:hRule="atLeast"/>
        </w:trPr>
        <w:tc>
          <w:tcPr>
            <w:tcW w:w="618" w:type="dxa"/>
            <w:tcBorders>
              <w:top w:val="single" w:sz="12" w:space="0" w:color="CAD4DF"/>
              <w:bottom w:val="single" w:sz="12" w:space="0" w:color="CAD4DF"/>
            </w:tcBorders>
            <w:shd w:val="clear" w:color="auto" w:fill="F7F9FB"/>
          </w:tcPr>
          <w:p>
            <w:pPr>
              <w:pStyle w:val="TableParagraph"/>
              <w:spacing w:before="61"/>
              <w:ind w:left="97"/>
              <w:rPr>
                <w:b/>
                <w:sz w:val="17"/>
              </w:rPr>
            </w:pPr>
            <w:r>
              <w:rPr>
                <w:b/>
                <w:color w:val="1A365D"/>
                <w:spacing w:val="-5"/>
                <w:sz w:val="17"/>
              </w:rPr>
              <w:t>2.</w:t>
            </w:r>
          </w:p>
        </w:tc>
        <w:tc>
          <w:tcPr>
            <w:tcW w:w="14835" w:type="dxa"/>
            <w:gridSpan w:val="7"/>
            <w:tcBorders>
              <w:top w:val="single" w:sz="12" w:space="0" w:color="CAD4DF"/>
              <w:bottom w:val="single" w:sz="12" w:space="0" w:color="CAD4DF"/>
            </w:tcBorders>
            <w:shd w:val="clear" w:color="auto" w:fill="F7F9FB"/>
          </w:tcPr>
          <w:p>
            <w:pPr>
              <w:pStyle w:val="TableParagraph"/>
              <w:spacing w:before="61"/>
              <w:ind w:left="97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OPERATIVNI I PROJEKTNI TROŠKOVI </w:t>
            </w:r>
            <w:r>
              <w:rPr>
                <w:b/>
                <w:color w:val="1A365D"/>
                <w:spacing w:val="-10"/>
                <w:sz w:val="17"/>
              </w:rPr>
              <w:t>)</w:t>
            </w:r>
          </w:p>
        </w:tc>
      </w:tr>
      <w:tr>
        <w:trPr>
          <w:trHeight w:val="354" w:hRule="atLeast"/>
        </w:trPr>
        <w:tc>
          <w:tcPr>
            <w:tcW w:w="618" w:type="dxa"/>
            <w:tcBorders>
              <w:top w:val="single" w:sz="12" w:space="0" w:color="CAD4DF"/>
            </w:tcBorders>
          </w:tcPr>
          <w:p>
            <w:pPr>
              <w:pStyle w:val="TableParagraph"/>
              <w:spacing w:before="64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2.1.</w:t>
            </w:r>
          </w:p>
        </w:tc>
        <w:tc>
          <w:tcPr>
            <w:tcW w:w="4947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8" w:hRule="atLeast"/>
        </w:trPr>
        <w:tc>
          <w:tcPr>
            <w:tcW w:w="618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2.2.</w:t>
            </w:r>
          </w:p>
        </w:tc>
        <w:tc>
          <w:tcPr>
            <w:tcW w:w="4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7" w:hRule="atLeast"/>
        </w:trPr>
        <w:tc>
          <w:tcPr>
            <w:tcW w:w="618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2.3.</w:t>
            </w:r>
          </w:p>
        </w:tc>
        <w:tc>
          <w:tcPr>
            <w:tcW w:w="4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8" w:hRule="atLeast"/>
        </w:trPr>
        <w:tc>
          <w:tcPr>
            <w:tcW w:w="618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2.4.</w:t>
            </w:r>
          </w:p>
        </w:tc>
        <w:tc>
          <w:tcPr>
            <w:tcW w:w="4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8" w:hRule="atLeast"/>
        </w:trPr>
        <w:tc>
          <w:tcPr>
            <w:tcW w:w="618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2.5.</w:t>
            </w:r>
          </w:p>
        </w:tc>
        <w:tc>
          <w:tcPr>
            <w:tcW w:w="4947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10"/>
                <w:sz w:val="16"/>
              </w:rPr>
              <w:t>)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9581" w:type="dxa"/>
            <w:gridSpan w:val="5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spacing w:before="65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color w:val="2C3747"/>
                <w:spacing w:val="-2"/>
                <w:sz w:val="16"/>
              </w:rPr>
              <w:t>UKUPNO</w:t>
            </w:r>
            <w:r>
              <w:rPr>
                <w:b/>
                <w:color w:val="2C3747"/>
                <w:spacing w:val="-3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OPERATIVNI TROŠKOVI</w:t>
            </w:r>
            <w:r>
              <w:rPr>
                <w:b/>
                <w:color w:val="2C3747"/>
                <w:spacing w:val="-3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(KM):</w:t>
            </w:r>
          </w:p>
        </w:tc>
        <w:tc>
          <w:tcPr>
            <w:tcW w:w="1854" w:type="dxa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bottom w:val="single" w:sz="12" w:space="0" w:color="CAD4DF"/>
            </w:tcBorders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3" w:hRule="atLeast"/>
        </w:trPr>
        <w:tc>
          <w:tcPr>
            <w:tcW w:w="618" w:type="dxa"/>
            <w:tcBorders>
              <w:top w:val="single" w:sz="12" w:space="0" w:color="CAD4DF"/>
              <w:bottom w:val="single" w:sz="12" w:space="0" w:color="CAD4DF"/>
            </w:tcBorders>
            <w:shd w:val="clear" w:color="auto" w:fill="F7F9FB"/>
          </w:tcPr>
          <w:p>
            <w:pPr>
              <w:pStyle w:val="TableParagraph"/>
              <w:spacing w:before="61"/>
              <w:ind w:left="97"/>
              <w:rPr>
                <w:b/>
                <w:sz w:val="17"/>
              </w:rPr>
            </w:pPr>
            <w:r>
              <w:rPr>
                <w:b/>
                <w:color w:val="1A365D"/>
                <w:spacing w:val="-5"/>
                <w:sz w:val="17"/>
              </w:rPr>
              <w:t>3.</w:t>
            </w:r>
          </w:p>
        </w:tc>
        <w:tc>
          <w:tcPr>
            <w:tcW w:w="14835" w:type="dxa"/>
            <w:gridSpan w:val="7"/>
            <w:tcBorders>
              <w:top w:val="single" w:sz="12" w:space="0" w:color="CAD4DF"/>
              <w:bottom w:val="single" w:sz="12" w:space="0" w:color="CAD4DF"/>
            </w:tcBorders>
            <w:shd w:val="clear" w:color="auto" w:fill="F7F9FB"/>
          </w:tcPr>
          <w:p>
            <w:pPr>
              <w:pStyle w:val="TableParagraph"/>
              <w:spacing w:before="61"/>
              <w:ind w:left="97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ADMINISTRATIVNI</w:t>
            </w:r>
            <w:r>
              <w:rPr>
                <w:b/>
                <w:color w:val="1A365D"/>
                <w:spacing w:val="-1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TROŠKOVI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(Kancelarijski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materijal,</w:t>
            </w:r>
            <w:r>
              <w:rPr>
                <w:b/>
                <w:color w:val="1A365D"/>
                <w:spacing w:val="-1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režije,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bankarske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usluge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-</w:t>
            </w:r>
            <w:r>
              <w:rPr>
                <w:b/>
                <w:color w:val="1A365D"/>
                <w:spacing w:val="-1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max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10-</w:t>
            </w:r>
            <w:r>
              <w:rPr>
                <w:b/>
                <w:color w:val="1A365D"/>
                <w:spacing w:val="-4"/>
                <w:sz w:val="17"/>
              </w:rPr>
              <w:t>20%)</w:t>
            </w:r>
          </w:p>
        </w:tc>
      </w:tr>
      <w:tr>
        <w:trPr>
          <w:trHeight w:val="354" w:hRule="atLeast"/>
        </w:trPr>
        <w:tc>
          <w:tcPr>
            <w:tcW w:w="618" w:type="dxa"/>
            <w:tcBorders>
              <w:top w:val="single" w:sz="12" w:space="0" w:color="CAD4DF"/>
            </w:tcBorders>
          </w:tcPr>
          <w:p>
            <w:pPr>
              <w:pStyle w:val="TableParagraph"/>
              <w:spacing w:before="64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3.1.</w:t>
            </w:r>
          </w:p>
        </w:tc>
        <w:tc>
          <w:tcPr>
            <w:tcW w:w="4947" w:type="dxa"/>
            <w:tcBorders>
              <w:top w:val="single" w:sz="12" w:space="0" w:color="CAD4DF"/>
            </w:tcBorders>
          </w:tcPr>
          <w:p>
            <w:pPr>
              <w:pStyle w:val="TableParagraph"/>
              <w:spacing w:before="64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z w:val="16"/>
              </w:rPr>
              <w:t>Kancelarijski</w:t>
            </w:r>
            <w:r>
              <w:rPr>
                <w:rFonts w:ascii="Microsoft Sans Serif"/>
                <w:color w:val="2C3747"/>
                <w:spacing w:val="-6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materijal</w:t>
            </w:r>
            <w:r>
              <w:rPr>
                <w:rFonts w:ascii="Microsoft Sans Serif"/>
                <w:color w:val="2C3747"/>
                <w:spacing w:val="-6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i</w:t>
            </w:r>
            <w:r>
              <w:rPr>
                <w:rFonts w:ascii="Microsoft Sans Serif"/>
                <w:color w:val="2C3747"/>
                <w:spacing w:val="-6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toneri</w:t>
            </w:r>
            <w:r>
              <w:rPr>
                <w:rFonts w:ascii="Microsoft Sans Serif"/>
                <w:color w:val="2C3747"/>
                <w:spacing w:val="-6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za</w:t>
            </w:r>
            <w:r>
              <w:rPr>
                <w:rFonts w:ascii="Microsoft Sans Serif"/>
                <w:color w:val="2C3747"/>
                <w:spacing w:val="-6"/>
                <w:sz w:val="16"/>
              </w:rPr>
              <w:t> </w:t>
            </w:r>
            <w:r>
              <w:rPr>
                <w:rFonts w:ascii="Microsoft Sans Serif"/>
                <w:color w:val="2C3747"/>
                <w:spacing w:val="-2"/>
                <w:sz w:val="16"/>
              </w:rPr>
              <w:t>projekat</w:t>
            </w:r>
          </w:p>
        </w:tc>
        <w:tc>
          <w:tcPr>
            <w:tcW w:w="1236" w:type="dxa"/>
            <w:tcBorders>
              <w:top w:val="single" w:sz="12" w:space="0" w:color="CAD4DF"/>
            </w:tcBorders>
          </w:tcPr>
          <w:p>
            <w:pPr>
              <w:pStyle w:val="TableParagraph"/>
              <w:spacing w:before="64"/>
              <w:ind w:left="9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2"/>
                <w:sz w:val="16"/>
              </w:rPr>
              <w:t>mjesec/set</w:t>
            </w:r>
          </w:p>
        </w:tc>
        <w:tc>
          <w:tcPr>
            <w:tcW w:w="1081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tcBorders>
              <w:top w:val="single" w:sz="12" w:space="0" w:color="CAD4D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7" w:hRule="atLeast"/>
        </w:trPr>
        <w:tc>
          <w:tcPr>
            <w:tcW w:w="618" w:type="dxa"/>
          </w:tcPr>
          <w:p>
            <w:pPr>
              <w:pStyle w:val="TableParagraph"/>
              <w:spacing w:before="68"/>
              <w:ind w:left="9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4"/>
                <w:sz w:val="16"/>
              </w:rPr>
              <w:t>3.2.</w:t>
            </w:r>
          </w:p>
        </w:tc>
        <w:tc>
          <w:tcPr>
            <w:tcW w:w="4947" w:type="dxa"/>
          </w:tcPr>
          <w:p>
            <w:pPr>
              <w:pStyle w:val="TableParagraph"/>
              <w:spacing w:before="68"/>
              <w:ind w:left="9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C3747"/>
                <w:sz w:val="16"/>
              </w:rPr>
              <w:t>Bankarske</w:t>
            </w:r>
            <w:r>
              <w:rPr>
                <w:rFonts w:ascii="Microsoft Sans Serif" w:hAnsi="Microsoft Sans Serif"/>
                <w:color w:val="2C3747"/>
                <w:spacing w:val="-10"/>
                <w:sz w:val="16"/>
              </w:rPr>
              <w:t> </w:t>
            </w:r>
            <w:r>
              <w:rPr>
                <w:rFonts w:ascii="Microsoft Sans Serif" w:hAnsi="Microsoft Sans Serif"/>
                <w:color w:val="2C3747"/>
                <w:sz w:val="16"/>
              </w:rPr>
              <w:t>provizije</w:t>
            </w:r>
            <w:r>
              <w:rPr>
                <w:rFonts w:ascii="Microsoft Sans Serif" w:hAnsi="Microsoft Sans Serif"/>
                <w:color w:val="2C3747"/>
                <w:spacing w:val="-9"/>
                <w:sz w:val="16"/>
              </w:rPr>
              <w:t> </w:t>
            </w:r>
            <w:r>
              <w:rPr>
                <w:rFonts w:ascii="Microsoft Sans Serif" w:hAnsi="Microsoft Sans Serif"/>
                <w:color w:val="2C3747"/>
                <w:sz w:val="16"/>
              </w:rPr>
              <w:t>i</w:t>
            </w:r>
            <w:r>
              <w:rPr>
                <w:rFonts w:ascii="Microsoft Sans Serif" w:hAnsi="Microsoft Sans Serif"/>
                <w:color w:val="2C3747"/>
                <w:spacing w:val="-10"/>
                <w:sz w:val="16"/>
              </w:rPr>
              <w:t> </w:t>
            </w:r>
            <w:r>
              <w:rPr>
                <w:rFonts w:ascii="Microsoft Sans Serif" w:hAnsi="Microsoft Sans Serif"/>
                <w:color w:val="2C3747"/>
                <w:sz w:val="16"/>
              </w:rPr>
              <w:t>troškovi</w:t>
            </w:r>
            <w:r>
              <w:rPr>
                <w:rFonts w:ascii="Microsoft Sans Serif" w:hAnsi="Microsoft Sans Serif"/>
                <w:color w:val="2C3747"/>
                <w:spacing w:val="-9"/>
                <w:sz w:val="16"/>
              </w:rPr>
              <w:t> </w:t>
            </w:r>
            <w:r>
              <w:rPr>
                <w:rFonts w:ascii="Microsoft Sans Serif" w:hAnsi="Microsoft Sans Serif"/>
                <w:color w:val="2C3747"/>
                <w:sz w:val="16"/>
              </w:rPr>
              <w:t>vođenja</w:t>
            </w:r>
            <w:r>
              <w:rPr>
                <w:rFonts w:ascii="Microsoft Sans Serif" w:hAnsi="Microsoft Sans Serif"/>
                <w:color w:val="2C3747"/>
                <w:spacing w:val="-9"/>
                <w:sz w:val="16"/>
              </w:rPr>
              <w:t> </w:t>
            </w:r>
            <w:r>
              <w:rPr>
                <w:rFonts w:ascii="Microsoft Sans Serif" w:hAnsi="Microsoft Sans Serif"/>
                <w:color w:val="2C3747"/>
                <w:spacing w:val="-2"/>
                <w:sz w:val="16"/>
              </w:rPr>
              <w:t>podračuna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68"/>
              <w:ind w:left="9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pacing w:val="-2"/>
                <w:sz w:val="16"/>
              </w:rPr>
              <w:t>mjesec/pausal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8" w:hRule="atLeast"/>
        </w:trPr>
        <w:tc>
          <w:tcPr>
            <w:tcW w:w="9581" w:type="dxa"/>
            <w:gridSpan w:val="5"/>
            <w:shd w:val="clear" w:color="auto" w:fill="ECF1F7"/>
          </w:tcPr>
          <w:p>
            <w:pPr>
              <w:pStyle w:val="TableParagraph"/>
              <w:spacing w:before="65"/>
              <w:ind w:left="6044"/>
              <w:rPr>
                <w:b/>
                <w:sz w:val="16"/>
              </w:rPr>
            </w:pPr>
            <w:r>
              <w:rPr>
                <w:b/>
                <w:color w:val="2C3747"/>
                <w:spacing w:val="-2"/>
                <w:sz w:val="16"/>
              </w:rPr>
              <w:t>UKUPNO</w:t>
            </w:r>
            <w:r>
              <w:rPr>
                <w:b/>
                <w:color w:val="2C3747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ADMINISTRATIVNI</w:t>
            </w:r>
            <w:r>
              <w:rPr>
                <w:b/>
                <w:color w:val="2C3747"/>
                <w:spacing w:val="1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TROŠKOVI</w:t>
            </w:r>
            <w:r>
              <w:rPr>
                <w:b/>
                <w:color w:val="2C3747"/>
                <w:spacing w:val="1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(KM):</w:t>
            </w:r>
          </w:p>
        </w:tc>
        <w:tc>
          <w:tcPr>
            <w:tcW w:w="1854" w:type="dxa"/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shd w:val="clear" w:color="auto" w:fill="ECF1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4" w:hRule="atLeast"/>
        </w:trPr>
        <w:tc>
          <w:tcPr>
            <w:tcW w:w="9581" w:type="dxa"/>
            <w:gridSpan w:val="5"/>
            <w:shd w:val="clear" w:color="auto" w:fill="1A365D"/>
          </w:tcPr>
          <w:p>
            <w:pPr>
              <w:pStyle w:val="TableParagraph"/>
              <w:spacing w:before="64"/>
              <w:ind w:left="549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UKUPAN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BUDŽET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PROJEKTA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(1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+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2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+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3)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U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KM:</w:t>
            </w:r>
          </w:p>
        </w:tc>
        <w:tc>
          <w:tcPr>
            <w:tcW w:w="1854" w:type="dxa"/>
            <w:shd w:val="clear" w:color="auto" w:fill="1A365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shd w:val="clear" w:color="auto" w:fill="1A365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9" w:type="dxa"/>
            <w:shd w:val="clear" w:color="auto" w:fill="1A365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6840" w:h="11910" w:orient="landscape"/>
          <w:pgMar w:top="460" w:bottom="280" w:left="566" w:right="566"/>
        </w:sectPr>
      </w:pPr>
    </w:p>
    <w:p>
      <w:pPr>
        <w:spacing w:before="52"/>
        <w:ind w:left="129" w:right="0" w:firstLine="0"/>
        <w:jc w:val="left"/>
        <w:rPr>
          <w:rFonts w:ascii="Microsoft Sans Serif" w:hAnsi="Microsoft Sans Serif"/>
          <w:sz w:val="17"/>
        </w:rPr>
      </w:pPr>
      <w:r>
        <w:rPr>
          <w:b/>
          <w:color w:val="2D3648"/>
          <w:sz w:val="17"/>
        </w:rPr>
        <w:t>Mjesto:</w:t>
      </w:r>
      <w:r>
        <w:rPr>
          <w:b/>
          <w:color w:val="2D3648"/>
          <w:spacing w:val="-12"/>
          <w:sz w:val="17"/>
        </w:rPr>
        <w:t> </w:t>
      </w:r>
      <w:r>
        <w:rPr>
          <w:rFonts w:ascii="Microsoft Sans Serif" w:hAnsi="Microsoft Sans Serif"/>
          <w:color w:val="2D3648"/>
          <w:sz w:val="17"/>
        </w:rPr>
        <w:t>Velika</w:t>
      </w:r>
      <w:r>
        <w:rPr>
          <w:rFonts w:ascii="Microsoft Sans Serif" w:hAnsi="Microsoft Sans Serif"/>
          <w:color w:val="2D3648"/>
          <w:spacing w:val="-10"/>
          <w:sz w:val="17"/>
        </w:rPr>
        <w:t> </w:t>
      </w:r>
      <w:r>
        <w:rPr>
          <w:rFonts w:ascii="Microsoft Sans Serif" w:hAnsi="Microsoft Sans Serif"/>
          <w:color w:val="2D3648"/>
          <w:spacing w:val="-2"/>
          <w:sz w:val="17"/>
        </w:rPr>
        <w:t>Kladuša</w:t>
      </w:r>
    </w:p>
    <w:p>
      <w:pPr>
        <w:tabs>
          <w:tab w:pos="2542" w:val="left" w:leader="none"/>
        </w:tabs>
        <w:spacing w:before="76"/>
        <w:ind w:left="129" w:right="0" w:firstLine="0"/>
        <w:jc w:val="left"/>
        <w:rPr>
          <w:rFonts w:ascii="Microsoft Sans Serif"/>
          <w:sz w:val="17"/>
        </w:rPr>
      </w:pPr>
      <w:r>
        <w:rPr>
          <w:rFonts w:ascii="Microsoft Sans Serif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7038164</wp:posOffset>
                </wp:positionH>
                <wp:positionV relativeFrom="paragraph">
                  <wp:posOffset>142197</wp:posOffset>
                </wp:positionV>
                <wp:extent cx="2753995" cy="952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539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3995" h="9525">
                              <a:moveTo>
                                <a:pt x="275340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753409" y="0"/>
                              </a:lnTo>
                              <a:lnTo>
                                <a:pt x="275340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36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4.186157pt;margin-top:11.196642pt;width:216.803894pt;height:.75pt;mso-position-horizontal-relative:page;mso-position-vertical-relative:paragraph;z-index:15731712" id="docshape12" filled="true" fillcolor="#2d3648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2D3648"/>
          <w:sz w:val="17"/>
        </w:rPr>
        <w:t>Datum: </w:t>
      </w:r>
      <w:r>
        <w:rPr>
          <w:b/>
          <w:color w:val="2D3648"/>
          <w:sz w:val="17"/>
          <w:u w:val="single" w:color="2C3547"/>
        </w:rPr>
        <w:tab/>
      </w:r>
      <w:r>
        <w:rPr>
          <w:b/>
          <w:color w:val="2D3648"/>
          <w:sz w:val="17"/>
        </w:rPr>
        <w:t> </w:t>
      </w:r>
      <w:r>
        <w:rPr>
          <w:rFonts w:ascii="Microsoft Sans Serif"/>
          <w:color w:val="2D3648"/>
          <w:sz w:val="17"/>
        </w:rPr>
        <w:t>godine</w:t>
      </w:r>
    </w:p>
    <w:p>
      <w:pPr>
        <w:pStyle w:val="BodyText"/>
        <w:ind w:left="10946"/>
      </w:pPr>
      <w:r>
        <w:rPr>
          <w:color w:val="495467"/>
        </w:rPr>
        <w:t>Lice</w:t>
      </w:r>
      <w:r>
        <w:rPr>
          <w:color w:val="495467"/>
          <w:spacing w:val="-5"/>
        </w:rPr>
        <w:t> </w:t>
      </w:r>
      <w:r>
        <w:rPr>
          <w:color w:val="495467"/>
        </w:rPr>
        <w:t>ovlašteno</w:t>
      </w:r>
      <w:r>
        <w:rPr>
          <w:color w:val="495467"/>
          <w:spacing w:val="-5"/>
        </w:rPr>
        <w:t> </w:t>
      </w:r>
      <w:r>
        <w:rPr>
          <w:color w:val="495467"/>
        </w:rPr>
        <w:t>za</w:t>
      </w:r>
      <w:r>
        <w:rPr>
          <w:color w:val="495467"/>
          <w:spacing w:val="-4"/>
        </w:rPr>
        <w:t> </w:t>
      </w:r>
      <w:r>
        <w:rPr>
          <w:color w:val="495467"/>
        </w:rPr>
        <w:t>zastupanje</w:t>
      </w:r>
      <w:r>
        <w:rPr>
          <w:color w:val="495467"/>
          <w:spacing w:val="-5"/>
        </w:rPr>
        <w:t> </w:t>
      </w:r>
      <w:r>
        <w:rPr>
          <w:color w:val="495467"/>
        </w:rPr>
        <w:t>(Potpis</w:t>
      </w:r>
      <w:r>
        <w:rPr>
          <w:color w:val="495467"/>
          <w:spacing w:val="-4"/>
        </w:rPr>
        <w:t> </w:t>
      </w:r>
      <w:r>
        <w:rPr>
          <w:color w:val="495467"/>
        </w:rPr>
        <w:t>i</w:t>
      </w:r>
      <w:r>
        <w:rPr>
          <w:color w:val="495467"/>
          <w:spacing w:val="-5"/>
        </w:rPr>
        <w:t> </w:t>
      </w:r>
      <w:r>
        <w:rPr>
          <w:color w:val="495467"/>
          <w:spacing w:val="-4"/>
        </w:rPr>
        <w:t>M.P.)</w:t>
      </w:r>
    </w:p>
    <w:sectPr>
      <w:pgSz w:w="16840" w:h="11910" w:orient="landscape"/>
      <w:pgMar w:top="54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44" w:hanging="95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495468"/>
        <w:spacing w:val="0"/>
        <w:w w:val="99"/>
        <w:sz w:val="15"/>
        <w:szCs w:val="15"/>
        <w:lang w:val="bs" w:eastAsia="en-US" w:bidi="ar-SA"/>
      </w:rPr>
    </w:lvl>
    <w:lvl w:ilvl="1">
      <w:start w:val="0"/>
      <w:numFmt w:val="bullet"/>
      <w:lvlText w:val="•"/>
      <w:lvlJc w:val="left"/>
      <w:pPr>
        <w:ind w:left="1756" w:hanging="95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3273" w:hanging="95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4790" w:hanging="95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6307" w:hanging="95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7824" w:hanging="95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9341" w:hanging="95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0858" w:hanging="95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375" w:hanging="95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b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b/>
      <w:bCs/>
      <w:sz w:val="17"/>
      <w:szCs w:val="17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47"/>
      <w:ind w:left="114"/>
      <w:outlineLvl w:val="1"/>
    </w:pPr>
    <w:rPr>
      <w:rFonts w:ascii="Arial" w:hAnsi="Arial" w:eastAsia="Arial" w:cs="Arial"/>
      <w:b/>
      <w:bCs/>
      <w:sz w:val="28"/>
      <w:szCs w:val="28"/>
      <w:lang w:val="bs" w:eastAsia="en-US" w:bidi="ar-SA"/>
    </w:rPr>
  </w:style>
  <w:style w:styleId="Heading2" w:type="paragraph">
    <w:name w:val="Heading 2"/>
    <w:basedOn w:val="Normal"/>
    <w:uiPriority w:val="1"/>
    <w:qFormat/>
    <w:pPr>
      <w:spacing w:before="77"/>
      <w:ind w:left="114"/>
      <w:outlineLvl w:val="2"/>
    </w:pPr>
    <w:rPr>
      <w:rFonts w:ascii="Arial" w:hAnsi="Arial" w:eastAsia="Arial" w:cs="Arial"/>
      <w:b/>
      <w:bCs/>
      <w:sz w:val="19"/>
      <w:szCs w:val="19"/>
      <w:lang w:val="b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2026-08-12T07:53:58Z</dcterms:created>
  <dcterms:modified xsi:type="dcterms:W3CDTF">2026-08-12T07:53:58Z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WeasyPrint 62.3</vt:lpwstr>
  </property>
</Properties>
</file>